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附件二：</w:t>
      </w:r>
      <w:r>
        <w:rPr>
          <w:rFonts w:hint="eastAsia"/>
          <w:b/>
          <w:bCs/>
          <w:sz w:val="32"/>
          <w:szCs w:val="40"/>
        </w:rPr>
        <w:t>评分细则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本次歌咏比赛主要以音色音质、演唱技巧、感情表达、台风和仪表仪态为评分标准。具体的评分实施细则如下：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评分标准（总分100分）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1.舞台效果：表演流畅自然，具有丰富的舞台表现力，台风自然，充满活力，舞台画面富于美感，现场气氛热烈，歌曲内容思想性强、健康向上、符合活动主题。（15分）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2.歌唱水平：气息稳定，声音松弛，演唱音准、节奏鲜明准确，吐词清晰，声音和谐，音色优美，声音洪亮统一，歌曲完整流畅。（35分）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3.歌唱技巧：合唱队员与指挥及伴奏配合默契，能准确把握歌曲的风格、特点，情感表达恰到好处，表现力丰富，节目质量高，完美地诠释歌曲意境。（30分）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4.演员形象：服装整洁，舒展自然，仪态大方，表演人员精神饱满、富有朝气、台风好，上下台纪律良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好、行动整齐，形象打扮符合歌曲主题。（20分）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加分项：（50分）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1.演唱过程中有相应的表演人员伴舞；（15分）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2.在演唱过程中有相应的队伍队形的转变；（10分）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3.有合唱指挥人员（老师、学生皆可）；（5分）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4.在表演过程中使用道具，舞台渲染力强（道具：小红旗，礼花筒等）；（5分）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5.对歌曲进行创新（歌曲串烧等），表演形式新颖（朗诵加合唱等），效果突出，具有鲜明的特色；（10分）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6.参赛队伍自己制作出优美的背景图（背景视频），具有鲜明的特色、符合歌曲意境。（5分）</w:t>
      </w:r>
    </w:p>
    <w:sectPr>
      <w:pgSz w:w="11906" w:h="16838"/>
      <w:pgMar w:top="600" w:right="866" w:bottom="6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zlmYTMwMWFiMTIxMzUxN2I0MzlhZjRlNjY3Y2MifQ=="/>
  </w:docVars>
  <w:rsids>
    <w:rsidRoot w:val="00000000"/>
    <w:rsid w:val="7D6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2023-03-31T06:23:04Z</dcterms:created>
  <dc:creator>A5</dc:creator>
  <cp:lastModifiedBy>A5</cp:lastModifiedBy>
  <dcterms:modified xsi:type="dcterms:W3CDTF">2023-03-31T06:25:36Z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EB91D56B29B24F36B927FB2852C9C3CE_12</vt:lpwstr>
  </property>
</Properties>
</file>