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373" w:lineRule="auto"/>
        <w:ind w:right="66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附件四</w:t>
      </w:r>
    </w:p>
    <w:p>
      <w:pPr>
        <w:spacing w:before="91" w:line="373" w:lineRule="auto"/>
        <w:ind w:right="66" w:firstLine="1380" w:firstLineChars="500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土木与测绘工程系心理工作站第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届委员名单</w:t>
      </w:r>
    </w:p>
    <w:tbl>
      <w:tblPr>
        <w:tblStyle w:val="3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724"/>
        <w:gridCol w:w="2280"/>
        <w:gridCol w:w="219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80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伊国俊</w:t>
            </w:r>
          </w:p>
        </w:tc>
        <w:tc>
          <w:tcPr>
            <w:tcW w:w="2280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测量22-1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  <w:t>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</w:t>
            </w:r>
          </w:p>
        </w:tc>
        <w:tc>
          <w:tcPr>
            <w:tcW w:w="2280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市政22-1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  <w:t>副站长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梁佳佳</w:t>
            </w:r>
          </w:p>
        </w:tc>
        <w:tc>
          <w:tcPr>
            <w:tcW w:w="2280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市政22-1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  <w:t>公寓管理部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罗益顺</w:t>
            </w:r>
          </w:p>
        </w:tc>
        <w:tc>
          <w:tcPr>
            <w:tcW w:w="2280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城勘22-2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  <w:t>公寓管理部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陈友林</w:t>
            </w:r>
          </w:p>
        </w:tc>
        <w:tc>
          <w:tcPr>
            <w:tcW w:w="2280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城勘22-2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  <w:t>就业指导部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齐昀哲</w:t>
            </w:r>
          </w:p>
        </w:tc>
        <w:tc>
          <w:tcPr>
            <w:tcW w:w="2280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岩土22-2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  <w:t>就业指导部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4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李咏耀</w:t>
            </w:r>
          </w:p>
        </w:tc>
        <w:tc>
          <w:tcPr>
            <w:tcW w:w="2280" w:type="dxa"/>
          </w:tcPr>
          <w:p>
            <w:pPr>
              <w:widowControl w:val="0"/>
              <w:spacing w:before="91" w:line="373" w:lineRule="auto"/>
              <w:ind w:right="66" w:firstLine="480" w:firstLineChars="200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建管22-1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  <w:t>心理事务安全部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24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谢小婷</w:t>
            </w:r>
          </w:p>
        </w:tc>
        <w:tc>
          <w:tcPr>
            <w:tcW w:w="2280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市政22-1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  <w:bookmarkStart w:id="0" w:name="_GoBack"/>
            <w:bookmarkEnd w:id="0"/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95" w:type="dxa"/>
          </w:tcPr>
          <w:p>
            <w:pPr>
              <w:widowControl w:val="0"/>
              <w:spacing w:before="91" w:line="373" w:lineRule="auto"/>
              <w:ind w:right="66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  <w:t>心理事务安全部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</w:tbl>
    <w:p>
      <w:pPr>
        <w:spacing w:before="91" w:line="373" w:lineRule="auto"/>
        <w:ind w:right="66" w:firstLine="1180" w:firstLineChars="500"/>
        <w:rPr>
          <w:rFonts w:hint="eastAsia" w:ascii="宋体" w:hAnsi="宋体" w:eastAsia="宋体" w:cs="宋体"/>
          <w:spacing w:val="-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I3YzZhN2NmYjZlOTgzZDE4OTU5NDRmYjVlYzkifQ=="/>
  </w:docVars>
  <w:rsids>
    <w:rsidRoot w:val="64C23552"/>
    <w:rsid w:val="17C03CCF"/>
    <w:rsid w:val="17CD6C75"/>
    <w:rsid w:val="29A07307"/>
    <w:rsid w:val="64C23552"/>
    <w:rsid w:val="6558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2023-11-14T14:15:00Z</dcterms:created>
  <dc:creator>huawei</dc:creator>
  <cp:lastModifiedBy>huawei</cp:lastModifiedBy>
  <dcterms:modified xsi:type="dcterms:W3CDTF">2023-11-15T13:30:59Z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D5711158C8624959A090B0B95A827268_11</vt:lpwstr>
  </property>
</Properties>
</file>